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polycarboxylate ether PCE powder concrete additive concrete admixture</w:t>
      </w:r>
    </w:p>
    <w:p>
      <w:pPr>
        <w:rPr>
          <w:rFonts w:hint="eastAsia"/>
          <w:sz w:val="28"/>
          <w:szCs w:val="28"/>
        </w:rPr>
      </w:pPr>
    </w:p>
    <w:p>
      <w:pPr>
        <w:rPr>
          <w:rFonts w:hint="eastAsia"/>
          <w:sz w:val="28"/>
          <w:szCs w:val="28"/>
        </w:rPr>
      </w:pPr>
      <w:r>
        <w:rPr>
          <w:rFonts w:hint="eastAsia"/>
          <w:sz w:val="28"/>
          <w:szCs w:val="28"/>
        </w:rPr>
        <w:t>polycarboxylate ether PCE powder concrete additive concrete admixture is a new type of environmental protection superplasticizer. The product is concentrated product, the best water reduction rate is high, slump retention ability is strong, alkali content is low, strength gain rate is high.</w:t>
      </w:r>
    </w:p>
    <w:p>
      <w:pPr>
        <w:rPr>
          <w:rFonts w:hint="eastAsia"/>
          <w:sz w:val="28"/>
          <w:szCs w:val="28"/>
        </w:rPr>
      </w:pPr>
    </w:p>
    <w:p>
      <w:pPr>
        <w:rPr>
          <w:rFonts w:hint="eastAsia"/>
          <w:sz w:val="28"/>
          <w:szCs w:val="28"/>
        </w:rPr>
      </w:pPr>
      <w:r>
        <w:rPr>
          <w:rFonts w:hint="eastAsia"/>
          <w:sz w:val="28"/>
          <w:szCs w:val="28"/>
        </w:rPr>
        <w:t>At the same time, it can also improve the plastic index of fresh concrete, so as to improve the pumping performance of concrete in construction. It can be widely used in premix of ordinary concrete, shotcrete and high strength and durability concrete. Especially! It has excellent performance and can be used in high strength and durability concrete.</w:t>
      </w:r>
    </w:p>
    <w:p>
      <w:pPr>
        <w:rPr>
          <w:rFonts w:hint="eastAsia"/>
          <w:sz w:val="28"/>
          <w:szCs w:val="28"/>
        </w:rPr>
      </w:pPr>
    </w:p>
    <w:p>
      <w:pPr>
        <w:rPr>
          <w:rFonts w:hint="eastAsia"/>
          <w:sz w:val="28"/>
          <w:szCs w:val="28"/>
        </w:rPr>
      </w:pPr>
      <w:r>
        <w:rPr>
          <w:rFonts w:hint="eastAsia"/>
          <w:sz w:val="28"/>
          <w:szCs w:val="28"/>
        </w:rPr>
        <w:t>Product technical performance</w:t>
      </w:r>
    </w:p>
    <w:p>
      <w:pPr>
        <w:rPr>
          <w:rFonts w:hint="eastAsia"/>
          <w:sz w:val="28"/>
          <w:szCs w:val="28"/>
        </w:rPr>
      </w:pPr>
      <w:r>
        <w:rPr>
          <w:rFonts w:hint="eastAsia"/>
          <w:sz w:val="28"/>
          <w:szCs w:val="28"/>
        </w:rPr>
        <w:t>1. Special molecular structure and special branch structure design, used for hydrolysis reaction of fresh mixed concrete. By adjusting the branch structure, the hydrolysis rate can be adjusted within the effective time to achieve selective protection effect.</w:t>
      </w:r>
    </w:p>
    <w:p>
      <w:pPr>
        <w:rPr>
          <w:rFonts w:hint="eastAsia"/>
          <w:sz w:val="28"/>
          <w:szCs w:val="28"/>
        </w:rPr>
      </w:pPr>
      <w:r>
        <w:rPr>
          <w:rFonts w:hint="eastAsia"/>
          <w:sz w:val="28"/>
          <w:szCs w:val="28"/>
        </w:rPr>
        <w:t>2. Slow release: this product is mixed into concrete, slowly hydrolyze, release carboxylic acid group, achieve long-term dispersion effect, achieve ideal preservation effect.</w:t>
      </w:r>
    </w:p>
    <w:p>
      <w:pPr>
        <w:rPr>
          <w:rFonts w:hint="eastAsia"/>
          <w:sz w:val="28"/>
          <w:szCs w:val="28"/>
        </w:rPr>
      </w:pPr>
      <w:r>
        <w:rPr>
          <w:rFonts w:hint="eastAsia"/>
          <w:sz w:val="28"/>
          <w:szCs w:val="28"/>
        </w:rPr>
        <w:t>3. High strength increase rate, adding the product of concrete does not change the setting time, to overcome the general retarder concrete final setting time is too long, early strength development is too slow shortcomings.</w:t>
      </w:r>
    </w:p>
    <w:p>
      <w:pPr>
        <w:rPr>
          <w:rFonts w:hint="eastAsia"/>
          <w:sz w:val="28"/>
          <w:szCs w:val="28"/>
        </w:rPr>
      </w:pPr>
    </w:p>
    <w:p>
      <w:pPr>
        <w:rPr>
          <w:rFonts w:hint="eastAsia"/>
          <w:sz w:val="28"/>
          <w:szCs w:val="28"/>
        </w:rPr>
      </w:pPr>
      <w:r>
        <w:rPr>
          <w:rFonts w:hint="eastAsia"/>
          <w:sz w:val="28"/>
          <w:szCs w:val="28"/>
        </w:rPr>
        <w:t>Development of concrete water reducing agent:</w:t>
      </w:r>
    </w:p>
    <w:p>
      <w:pPr>
        <w:rPr>
          <w:rFonts w:hint="eastAsia"/>
          <w:sz w:val="28"/>
          <w:szCs w:val="28"/>
        </w:rPr>
      </w:pPr>
      <w:r>
        <w:rPr>
          <w:rFonts w:hint="eastAsia"/>
          <w:sz w:val="28"/>
          <w:szCs w:val="28"/>
        </w:rPr>
        <w:t>The first generation of water reducing agent: lignosulfonate (sodium, magnesium, calcium).</w:t>
      </w:r>
    </w:p>
    <w:p>
      <w:pPr>
        <w:rPr>
          <w:rFonts w:hint="eastAsia"/>
          <w:sz w:val="28"/>
          <w:szCs w:val="28"/>
        </w:rPr>
      </w:pPr>
      <w:r>
        <w:rPr>
          <w:rFonts w:hint="eastAsia"/>
          <w:sz w:val="28"/>
          <w:szCs w:val="28"/>
        </w:rPr>
        <w:t>The second generation of water reducing agent: naphthalene sulfonate, sulfonated melamine formaldehyde, aliphatic series, amino sulfonic acid series.</w:t>
      </w:r>
    </w:p>
    <w:p>
      <w:pPr>
        <w:rPr>
          <w:rFonts w:hint="eastAsia"/>
          <w:sz w:val="28"/>
          <w:szCs w:val="28"/>
        </w:rPr>
      </w:pPr>
      <w:r>
        <w:rPr>
          <w:rFonts w:hint="eastAsia"/>
          <w:sz w:val="28"/>
          <w:szCs w:val="28"/>
        </w:rPr>
        <w:t>The third generation of water reducing agent is: polycarboxylate superplasticizer.</w:t>
      </w:r>
    </w:p>
    <w:p>
      <w:pPr>
        <w:rPr>
          <w:rFonts w:hint="eastAsia"/>
          <w:sz w:val="28"/>
          <w:szCs w:val="28"/>
        </w:rPr>
      </w:pPr>
    </w:p>
    <w:p>
      <w:pPr>
        <w:rPr>
          <w:rFonts w:hint="eastAsia"/>
          <w:sz w:val="28"/>
          <w:szCs w:val="28"/>
        </w:rPr>
      </w:pPr>
      <w:r>
        <w:rPr>
          <w:rFonts w:hint="eastAsia"/>
          <w:sz w:val="28"/>
          <w:szCs w:val="28"/>
        </w:rPr>
        <w:t>RFQ:</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412"/>
        <w:gridCol w:w="51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dashed" w:color="DDDDDD" w:sz="6" w:space="0"/>
              <w:left w:val="dashed" w:color="DDDDDD" w:sz="6" w:space="0"/>
              <w:bottom w:val="dashed" w:color="DDDDDD" w:sz="6" w:space="0"/>
              <w:right w:val="dashed" w:color="DDDDDD" w:sz="6" w:space="0"/>
            </w:tcBorders>
            <w:shd w:val="clear"/>
            <w:tcMar>
              <w:top w:w="75" w:type="dxa"/>
              <w:left w:w="150" w:type="dxa"/>
              <w:bottom w:w="75" w:type="dxa"/>
              <w:right w:w="150" w:type="dxa"/>
            </w:tcMar>
            <w:vAlign w:val="center"/>
          </w:tcPr>
          <w:p>
            <w:pPr>
              <w:rPr>
                <w:rFonts w:hint="eastAsia"/>
                <w:sz w:val="28"/>
                <w:szCs w:val="28"/>
              </w:rPr>
            </w:pPr>
            <w:r>
              <w:rPr>
                <w:rFonts w:hint="eastAsia"/>
                <w:sz w:val="28"/>
                <w:szCs w:val="28"/>
              </w:rPr>
              <w:t>Q1. What is the MOQ? </w:t>
            </w:r>
          </w:p>
        </w:tc>
        <w:tc>
          <w:tcPr>
            <w:tcW w:w="0" w:type="auto"/>
            <w:tcBorders>
              <w:top w:val="dashed" w:color="DDDDDD" w:sz="6" w:space="0"/>
              <w:left w:val="dashed" w:color="DDDDDD" w:sz="6" w:space="0"/>
              <w:bottom w:val="dashed" w:color="DDDDDD" w:sz="6" w:space="0"/>
              <w:right w:val="dashed" w:color="DDDDDD" w:sz="6" w:space="0"/>
            </w:tcBorders>
            <w:shd w:val="clear"/>
            <w:tcMar>
              <w:top w:w="75" w:type="dxa"/>
              <w:left w:w="150" w:type="dxa"/>
              <w:bottom w:w="75" w:type="dxa"/>
              <w:right w:w="150" w:type="dxa"/>
            </w:tcMar>
            <w:vAlign w:val="center"/>
          </w:tcPr>
          <w:p>
            <w:pPr>
              <w:rPr>
                <w:rFonts w:hint="eastAsia"/>
                <w:sz w:val="28"/>
                <w:szCs w:val="28"/>
              </w:rPr>
            </w:pPr>
            <w:r>
              <w:rPr>
                <w:rFonts w:hint="eastAsia"/>
                <w:sz w:val="28"/>
                <w:szCs w:val="28"/>
              </w:rPr>
              <w:t>A1: 1MT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dashed" w:color="DDDDDD" w:sz="6" w:space="0"/>
              <w:left w:val="dashed" w:color="DDDDDD" w:sz="6" w:space="0"/>
              <w:bottom w:val="dashed" w:color="DDDDDD" w:sz="6" w:space="0"/>
              <w:right w:val="dashed" w:color="DDDDDD" w:sz="6" w:space="0"/>
            </w:tcBorders>
            <w:shd w:val="clear"/>
            <w:tcMar>
              <w:top w:w="75" w:type="dxa"/>
              <w:left w:w="150" w:type="dxa"/>
              <w:bottom w:w="75" w:type="dxa"/>
              <w:right w:w="150" w:type="dxa"/>
            </w:tcMar>
            <w:vAlign w:val="center"/>
          </w:tcPr>
          <w:p>
            <w:pPr>
              <w:rPr>
                <w:rFonts w:hint="eastAsia"/>
                <w:sz w:val="28"/>
                <w:szCs w:val="28"/>
              </w:rPr>
            </w:pPr>
            <w:r>
              <w:rPr>
                <w:rFonts w:hint="eastAsia"/>
                <w:sz w:val="28"/>
                <w:szCs w:val="28"/>
                <w:lang w:val="en-US" w:eastAsia="zh-CN"/>
              </w:rPr>
              <w:t>Q2. Can you supply free sample? </w:t>
            </w:r>
          </w:p>
        </w:tc>
        <w:tc>
          <w:tcPr>
            <w:tcW w:w="0" w:type="auto"/>
            <w:tcBorders>
              <w:top w:val="dashed" w:color="DDDDDD" w:sz="6" w:space="0"/>
              <w:left w:val="dashed" w:color="DDDDDD" w:sz="6" w:space="0"/>
              <w:bottom w:val="dashed" w:color="DDDDDD" w:sz="6" w:space="0"/>
              <w:right w:val="dashed" w:color="DDDDDD" w:sz="6" w:space="0"/>
            </w:tcBorders>
            <w:shd w:val="clear"/>
            <w:tcMar>
              <w:top w:w="75" w:type="dxa"/>
              <w:left w:w="150" w:type="dxa"/>
              <w:bottom w:w="75" w:type="dxa"/>
              <w:right w:w="150" w:type="dxa"/>
            </w:tcMar>
            <w:vAlign w:val="center"/>
          </w:tcPr>
          <w:p>
            <w:pPr>
              <w:rPr>
                <w:rFonts w:hint="eastAsia"/>
                <w:sz w:val="28"/>
                <w:szCs w:val="28"/>
              </w:rPr>
            </w:pPr>
            <w:r>
              <w:rPr>
                <w:rFonts w:hint="eastAsia"/>
                <w:sz w:val="28"/>
                <w:szCs w:val="28"/>
                <w:lang w:val="en-US" w:eastAsia="zh-CN"/>
              </w:rPr>
              <w:t>A2: Yes, we can supply 1-3kg free sample.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dashed" w:color="DDDDDD" w:sz="6" w:space="0"/>
              <w:left w:val="dashed" w:color="DDDDDD" w:sz="6" w:space="0"/>
              <w:bottom w:val="dashed" w:color="DDDDDD" w:sz="6" w:space="0"/>
              <w:right w:val="dashed" w:color="DDDDDD" w:sz="6" w:space="0"/>
            </w:tcBorders>
            <w:shd w:val="clear"/>
            <w:tcMar>
              <w:top w:w="75" w:type="dxa"/>
              <w:left w:w="150" w:type="dxa"/>
              <w:bottom w:w="75" w:type="dxa"/>
              <w:right w:w="150" w:type="dxa"/>
            </w:tcMar>
            <w:vAlign w:val="center"/>
          </w:tcPr>
          <w:p>
            <w:pPr>
              <w:rPr>
                <w:rFonts w:hint="eastAsia"/>
                <w:sz w:val="28"/>
                <w:szCs w:val="28"/>
              </w:rPr>
            </w:pPr>
            <w:r>
              <w:rPr>
                <w:rFonts w:hint="eastAsia"/>
                <w:sz w:val="28"/>
                <w:szCs w:val="28"/>
              </w:rPr>
              <w:t>Q3: Are you a manufacturer or a trading company?</w:t>
            </w:r>
          </w:p>
          <w:p>
            <w:pPr>
              <w:rPr>
                <w:rFonts w:hint="eastAsia"/>
                <w:sz w:val="28"/>
                <w:szCs w:val="28"/>
              </w:rPr>
            </w:pPr>
          </w:p>
        </w:tc>
        <w:tc>
          <w:tcPr>
            <w:tcW w:w="0" w:type="auto"/>
            <w:tcBorders>
              <w:top w:val="dashed" w:color="DDDDDD" w:sz="6" w:space="0"/>
              <w:left w:val="dashed" w:color="DDDDDD" w:sz="6" w:space="0"/>
              <w:bottom w:val="dashed" w:color="DDDDDD" w:sz="6" w:space="0"/>
              <w:right w:val="dashed" w:color="DDDDDD" w:sz="6" w:space="0"/>
            </w:tcBorders>
            <w:shd w:val="clear"/>
            <w:tcMar>
              <w:top w:w="75" w:type="dxa"/>
              <w:left w:w="150" w:type="dxa"/>
              <w:bottom w:w="75" w:type="dxa"/>
              <w:right w:w="150" w:type="dxa"/>
            </w:tcMar>
            <w:vAlign w:val="center"/>
          </w:tcPr>
          <w:p>
            <w:pPr>
              <w:rPr>
                <w:rFonts w:hint="eastAsia"/>
                <w:sz w:val="28"/>
                <w:szCs w:val="28"/>
              </w:rPr>
            </w:pPr>
            <w:r>
              <w:rPr>
                <w:rFonts w:hint="eastAsia"/>
                <w:sz w:val="28"/>
                <w:szCs w:val="28"/>
              </w:rPr>
              <w:t>A3: We are a manufacturer with fine chemical materials manufacturer in China.</w:t>
            </w:r>
          </w:p>
          <w:p>
            <w:pPr>
              <w:rPr>
                <w:rFonts w:hint="eastAsia"/>
                <w:sz w:val="28"/>
                <w:szCs w:val="28"/>
              </w:rPr>
            </w:pPr>
          </w:p>
        </w:tc>
      </w:tr>
    </w:tbl>
    <w:p>
      <w:pPr>
        <w:rPr>
          <w:rFonts w:hint="eastAsia"/>
          <w:sz w:val="28"/>
          <w:szCs w:val="28"/>
        </w:rPr>
      </w:pPr>
      <w:r>
        <w:rPr>
          <w:rFonts w:hint="eastAsia"/>
          <w:sz w:val="28"/>
          <w:szCs w:val="28"/>
        </w:rPr>
        <w:drawing>
          <wp:inline distT="0" distB="0" distL="114300" distR="114300">
            <wp:extent cx="6096000" cy="6096000"/>
            <wp:effectExtent l="0" t="0" r="0" b="0"/>
            <wp:docPr id="2" name="图片 2" descr="polycarboxylate ether PCE powder concrete additive concrete admix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olycarboxylate ether PCE powder concrete additive concrete admixture.jpg"/>
                    <pic:cNvPicPr>
                      <a:picLocks noChangeAspect="1"/>
                    </pic:cNvPicPr>
                  </pic:nvPicPr>
                  <pic:blipFill>
                    <a:blip r:embed="rId4"/>
                    <a:stretch>
                      <a:fillRect/>
                    </a:stretch>
                  </pic:blipFill>
                  <pic:spPr>
                    <a:xfrm>
                      <a:off x="0" y="0"/>
                      <a:ext cx="6096000" cy="6096000"/>
                    </a:xfrm>
                    <a:prstGeom prst="rect">
                      <a:avLst/>
                    </a:prstGeom>
                    <a:noFill/>
                    <a:ln w="9525">
                      <a:noFill/>
                    </a:ln>
                  </pic:spPr>
                </pic:pic>
              </a:graphicData>
            </a:graphic>
          </wp:inline>
        </w:drawing>
      </w:r>
      <w:bookmarkStart w:id="0" w:name="_GoBack"/>
      <w:bookmarkEnd w:id="0"/>
    </w:p>
    <w:p>
      <w:pPr>
        <w:rPr>
          <w:rFonts w:hint="eastAsia"/>
          <w:sz w:val="28"/>
          <w:szCs w:val="28"/>
        </w:rPr>
      </w:pPr>
    </w:p>
    <w:p>
      <w:pP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748A7"/>
    <w:rsid w:val="029A06BE"/>
    <w:rsid w:val="034E7456"/>
    <w:rsid w:val="053A771B"/>
    <w:rsid w:val="05432C96"/>
    <w:rsid w:val="06B379CF"/>
    <w:rsid w:val="08933D31"/>
    <w:rsid w:val="090B5A08"/>
    <w:rsid w:val="092C7A8B"/>
    <w:rsid w:val="09586D9F"/>
    <w:rsid w:val="0C03613B"/>
    <w:rsid w:val="0FAA08F3"/>
    <w:rsid w:val="120A6EFC"/>
    <w:rsid w:val="121829CF"/>
    <w:rsid w:val="124579E9"/>
    <w:rsid w:val="12820270"/>
    <w:rsid w:val="13A47AAB"/>
    <w:rsid w:val="14AA6D74"/>
    <w:rsid w:val="1525358D"/>
    <w:rsid w:val="177C4D9C"/>
    <w:rsid w:val="189251A2"/>
    <w:rsid w:val="195D3599"/>
    <w:rsid w:val="19D23CA4"/>
    <w:rsid w:val="1A3456D1"/>
    <w:rsid w:val="1AA75C11"/>
    <w:rsid w:val="1CBD4E10"/>
    <w:rsid w:val="1D4B18B4"/>
    <w:rsid w:val="1F793D86"/>
    <w:rsid w:val="2037782B"/>
    <w:rsid w:val="204B080A"/>
    <w:rsid w:val="224A434E"/>
    <w:rsid w:val="22530CE0"/>
    <w:rsid w:val="25CF63E6"/>
    <w:rsid w:val="276E2530"/>
    <w:rsid w:val="29DD6835"/>
    <w:rsid w:val="2A4D317A"/>
    <w:rsid w:val="2AA6441D"/>
    <w:rsid w:val="2AF97D2B"/>
    <w:rsid w:val="2C281F49"/>
    <w:rsid w:val="2D9C7945"/>
    <w:rsid w:val="2ECE2067"/>
    <w:rsid w:val="2FE268F5"/>
    <w:rsid w:val="314D1B74"/>
    <w:rsid w:val="31CB5D70"/>
    <w:rsid w:val="32175F01"/>
    <w:rsid w:val="32985EA9"/>
    <w:rsid w:val="33C21288"/>
    <w:rsid w:val="345E60E4"/>
    <w:rsid w:val="34F63FA9"/>
    <w:rsid w:val="35E36473"/>
    <w:rsid w:val="36715459"/>
    <w:rsid w:val="372C084F"/>
    <w:rsid w:val="37526696"/>
    <w:rsid w:val="37AD4245"/>
    <w:rsid w:val="3A9C7886"/>
    <w:rsid w:val="3C6314BC"/>
    <w:rsid w:val="3E20224A"/>
    <w:rsid w:val="3E9122AE"/>
    <w:rsid w:val="3EC4433C"/>
    <w:rsid w:val="3FFB3404"/>
    <w:rsid w:val="40456E8F"/>
    <w:rsid w:val="40D407F9"/>
    <w:rsid w:val="411252AA"/>
    <w:rsid w:val="41FD0F5B"/>
    <w:rsid w:val="4237304A"/>
    <w:rsid w:val="42AC6DB8"/>
    <w:rsid w:val="479720C2"/>
    <w:rsid w:val="480B75DF"/>
    <w:rsid w:val="4A141DA6"/>
    <w:rsid w:val="4B7812F3"/>
    <w:rsid w:val="4D1C4C8F"/>
    <w:rsid w:val="4E533B5D"/>
    <w:rsid w:val="4E545191"/>
    <w:rsid w:val="4EFF62C5"/>
    <w:rsid w:val="4F144908"/>
    <w:rsid w:val="50A66E9A"/>
    <w:rsid w:val="513D5E1C"/>
    <w:rsid w:val="517534F1"/>
    <w:rsid w:val="51C30984"/>
    <w:rsid w:val="51D66A3B"/>
    <w:rsid w:val="52F059DC"/>
    <w:rsid w:val="5337544B"/>
    <w:rsid w:val="541D3D56"/>
    <w:rsid w:val="56AE49B1"/>
    <w:rsid w:val="58084AF5"/>
    <w:rsid w:val="584F5652"/>
    <w:rsid w:val="5C01262B"/>
    <w:rsid w:val="5D4F40D9"/>
    <w:rsid w:val="5DDC069D"/>
    <w:rsid w:val="5F78053D"/>
    <w:rsid w:val="5FCE4E78"/>
    <w:rsid w:val="61C970A2"/>
    <w:rsid w:val="64064217"/>
    <w:rsid w:val="66C04CE1"/>
    <w:rsid w:val="683F6639"/>
    <w:rsid w:val="6AB00801"/>
    <w:rsid w:val="6C694699"/>
    <w:rsid w:val="6CBB3169"/>
    <w:rsid w:val="6D6264EB"/>
    <w:rsid w:val="6F9D752A"/>
    <w:rsid w:val="71036619"/>
    <w:rsid w:val="72512199"/>
    <w:rsid w:val="72D32D5A"/>
    <w:rsid w:val="738F1818"/>
    <w:rsid w:val="75165FA2"/>
    <w:rsid w:val="761A2558"/>
    <w:rsid w:val="769213A9"/>
    <w:rsid w:val="788B43B6"/>
    <w:rsid w:val="790725E3"/>
    <w:rsid w:val="7B275167"/>
    <w:rsid w:val="7C246586"/>
    <w:rsid w:val="7C81743C"/>
    <w:rsid w:val="7D8013D6"/>
    <w:rsid w:val="7E8404DB"/>
    <w:rsid w:val="7ED51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阿杨</cp:lastModifiedBy>
  <dcterms:modified xsi:type="dcterms:W3CDTF">2022-03-03T08:03:16Z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3D2085EACCAB4676B2F7CFD6DE0071E9</vt:lpwstr>
  </property>
</Properties>
</file>